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6D7A" w14:textId="77777777" w:rsidR="00765D2C" w:rsidRDefault="00765D2C" w:rsidP="00416C7B">
      <w:pPr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</w:pPr>
      <w:r w:rsidRPr="00765D2C"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  <w:t xml:space="preserve">2nd Goring and Streatley Scout Group Risk Assessment </w:t>
      </w:r>
    </w:p>
    <w:p w14:paraId="2FF7E701" w14:textId="6D64A5E6" w:rsidR="00416C7B" w:rsidRDefault="00416C7B" w:rsidP="00416C7B">
      <w:r>
        <w:t xml:space="preserve">Assessor and Position: </w:t>
      </w:r>
    </w:p>
    <w:p w14:paraId="14057220" w14:textId="3D18C567" w:rsidR="00416C7B" w:rsidRPr="00416C7B" w:rsidRDefault="00416C7B" w:rsidP="00416C7B">
      <w:r>
        <w:t xml:space="preserve">Date Assessed: </w:t>
      </w:r>
    </w:p>
    <w:p w14:paraId="45D7A84C" w14:textId="112C5E0F" w:rsidR="00441F4F" w:rsidRPr="00441F4F" w:rsidRDefault="00F56BF7" w:rsidP="008977F8">
      <w:pPr>
        <w:pStyle w:val="Heading2"/>
      </w:pPr>
      <w:r>
        <w:t>Fire</w:t>
      </w:r>
      <w:r w:rsidR="0085513D">
        <w:t xml:space="preserve"> </w:t>
      </w:r>
      <w:r>
        <w:t>Building</w:t>
      </w:r>
      <w:r w:rsidR="00013939">
        <w:t xml:space="preserve"> Risk Assessment</w:t>
      </w:r>
    </w:p>
    <w:tbl>
      <w:tblPr>
        <w:tblW w:w="15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8935"/>
      </w:tblGrid>
      <w:tr w:rsidR="0061193D" w14:paraId="2FF4D7C2" w14:textId="77777777" w:rsidTr="0085513D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47B" w14:textId="488ADA43" w:rsidR="0061193D" w:rsidRPr="00307F8C" w:rsidRDefault="0061193D" w:rsidP="00307F8C">
            <w:pPr>
              <w:rPr>
                <w:b/>
                <w:szCs w:val="20"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6C3" w14:textId="36A1F464" w:rsidR="0061193D" w:rsidRPr="00307F8C" w:rsidRDefault="0061193D" w:rsidP="00307F8C">
            <w:pPr>
              <w:rPr>
                <w:rFonts w:cs="Arial"/>
                <w:b/>
              </w:rPr>
            </w:pPr>
            <w:r w:rsidRPr="00307F8C">
              <w:rPr>
                <w:b/>
                <w:sz w:val="21"/>
                <w:szCs w:val="21"/>
              </w:rPr>
              <w:t>Those who might be harmed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ABD" w14:textId="5905F803" w:rsidR="0061193D" w:rsidRPr="00307F8C" w:rsidRDefault="0061193D" w:rsidP="00307F8C">
            <w:pPr>
              <w:rPr>
                <w:rFonts w:cs="Arial"/>
                <w:b/>
                <w:szCs w:val="20"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85513D" w14:paraId="6297B396" w14:textId="77777777" w:rsidTr="0085513D">
        <w:trPr>
          <w:trHeight w:val="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2451" w14:textId="77777777" w:rsidR="0085513D" w:rsidRPr="0085513D" w:rsidRDefault="0085513D">
            <w:r w:rsidRPr="0085513D">
              <w:rPr>
                <w:b/>
              </w:rPr>
              <w:t xml:space="preserve">Rough wood – </w:t>
            </w:r>
            <w:r w:rsidRPr="0085513D">
              <w:t>risk of splinters or blisters from handling.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0606" w14:textId="77777777" w:rsidR="0085513D" w:rsidRPr="0085513D" w:rsidRDefault="0085513D">
            <w:r w:rsidRPr="0085513D">
              <w:t>All present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02C5" w14:textId="58F0CF8C" w:rsidR="0085513D" w:rsidRPr="0085513D" w:rsidRDefault="0085513D" w:rsidP="0085513D">
            <w:pPr>
              <w:pStyle w:val="ListParagraph"/>
              <w:numPr>
                <w:ilvl w:val="0"/>
                <w:numId w:val="23"/>
              </w:numPr>
            </w:pPr>
            <w:r w:rsidRPr="0085513D">
              <w:t>Leaders</w:t>
            </w:r>
            <w:r w:rsidR="008416B1">
              <w:t>/PLs/PSs</w:t>
            </w:r>
            <w:r w:rsidRPr="0085513D">
              <w:t xml:space="preserve"> should tell everyone to take care when cutting or snapping wood. </w:t>
            </w:r>
          </w:p>
          <w:p w14:paraId="2E9343AB" w14:textId="7633D95B" w:rsidR="0085513D" w:rsidRPr="0085513D" w:rsidRDefault="0085513D" w:rsidP="0085513D">
            <w:pPr>
              <w:pStyle w:val="ListParagraph"/>
              <w:numPr>
                <w:ilvl w:val="0"/>
                <w:numId w:val="23"/>
              </w:numPr>
            </w:pPr>
            <w:r w:rsidRPr="0085513D">
              <w:t xml:space="preserve">Everyone should wear strong gloves </w:t>
            </w:r>
            <w:r>
              <w:t xml:space="preserve">(such as gardening gloves) </w:t>
            </w:r>
            <w:r w:rsidRPr="0085513D">
              <w:t>if they can.</w:t>
            </w:r>
          </w:p>
        </w:tc>
      </w:tr>
      <w:tr w:rsidR="0085513D" w14:paraId="7181214A" w14:textId="77777777" w:rsidTr="0085513D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71BB" w14:textId="77777777" w:rsidR="0085513D" w:rsidRPr="0085513D" w:rsidRDefault="0085513D">
            <w:pPr>
              <w:rPr>
                <w:b/>
              </w:rPr>
            </w:pPr>
            <w:r w:rsidRPr="0085513D">
              <w:rPr>
                <w:b/>
              </w:rPr>
              <w:t xml:space="preserve">Sharp items (saws, axes, and knives) </w:t>
            </w:r>
            <w:r w:rsidRPr="0085513D">
              <w:t>– risk of injuries from mistakes or misuse.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16E2" w14:textId="77777777" w:rsidR="0085513D" w:rsidRPr="0085513D" w:rsidRDefault="0085513D">
            <w:r w:rsidRPr="0085513D">
              <w:t>All present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100" w14:textId="34781AF8" w:rsidR="0085513D" w:rsidRPr="0085513D" w:rsidRDefault="0085513D" w:rsidP="00F711B1">
            <w:pPr>
              <w:pStyle w:val="ListParagraph"/>
              <w:numPr>
                <w:ilvl w:val="0"/>
                <w:numId w:val="24"/>
              </w:numPr>
            </w:pPr>
            <w:r w:rsidRPr="0085513D">
              <w:t xml:space="preserve">Leaders should give </w:t>
            </w:r>
            <w:r w:rsidR="00F711B1">
              <w:t>members</w:t>
            </w:r>
            <w:r w:rsidRPr="0085513D">
              <w:t xml:space="preserve"> information and training before they use sharp items</w:t>
            </w:r>
            <w:r w:rsidR="00F711B1">
              <w:t xml:space="preserve"> (this is part of scout training)</w:t>
            </w:r>
            <w:r w:rsidRPr="0085513D">
              <w:t>.</w:t>
            </w:r>
          </w:p>
          <w:p w14:paraId="36D1F8C2" w14:textId="0A5B844F" w:rsidR="0085513D" w:rsidRPr="0085513D" w:rsidRDefault="008416B1" w:rsidP="00F711B1">
            <w:pPr>
              <w:pStyle w:val="ListParagraph"/>
              <w:numPr>
                <w:ilvl w:val="0"/>
                <w:numId w:val="24"/>
              </w:numPr>
            </w:pPr>
            <w:r w:rsidRPr="0085513D">
              <w:t>Leaders</w:t>
            </w:r>
            <w:r>
              <w:t>/PLs/PSs</w:t>
            </w:r>
            <w:r w:rsidRPr="0085513D">
              <w:t xml:space="preserve"> </w:t>
            </w:r>
            <w:r w:rsidR="0085513D" w:rsidRPr="0085513D">
              <w:t xml:space="preserve">should supervise </w:t>
            </w:r>
            <w:r>
              <w:t xml:space="preserve">younger </w:t>
            </w:r>
            <w:r w:rsidR="00F711B1">
              <w:t>members</w:t>
            </w:r>
            <w:r w:rsidR="0085513D" w:rsidRPr="0085513D">
              <w:t xml:space="preserve"> </w:t>
            </w:r>
            <w:r>
              <w:t>(tenderfoo</w:t>
            </w:r>
            <w:r w:rsidR="00F95A04">
              <w:t xml:space="preserve">ts) </w:t>
            </w:r>
            <w:r w:rsidR="0085513D" w:rsidRPr="0085513D">
              <w:t xml:space="preserve">and continue to assess their competence. There should be at least one </w:t>
            </w:r>
            <w:r w:rsidR="00693568">
              <w:t>leader or competent patrol leader for each group/patrol</w:t>
            </w:r>
            <w:r w:rsidR="0085513D" w:rsidRPr="0085513D">
              <w:t>.</w:t>
            </w:r>
          </w:p>
          <w:p w14:paraId="49C263ED" w14:textId="48325A37" w:rsidR="0085513D" w:rsidRPr="0085513D" w:rsidRDefault="00F95A04" w:rsidP="00F711B1">
            <w:pPr>
              <w:pStyle w:val="ListParagraph"/>
              <w:numPr>
                <w:ilvl w:val="0"/>
                <w:numId w:val="24"/>
              </w:numPr>
            </w:pPr>
            <w:r w:rsidRPr="0085513D">
              <w:t>Leaders</w:t>
            </w:r>
            <w:r>
              <w:t>/PLs/PSs</w:t>
            </w:r>
            <w:r w:rsidRPr="0085513D">
              <w:t xml:space="preserve"> </w:t>
            </w:r>
            <w:r w:rsidR="0085513D" w:rsidRPr="0085513D">
              <w:t>should make sure items are masked (have their blade covered) and stored safely between uses.</w:t>
            </w:r>
          </w:p>
          <w:p w14:paraId="41804919" w14:textId="77777777" w:rsidR="0085513D" w:rsidRPr="0085513D" w:rsidRDefault="0085513D"/>
        </w:tc>
      </w:tr>
      <w:tr w:rsidR="0085513D" w14:paraId="29D40CDF" w14:textId="77777777" w:rsidTr="0085513D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1297" w14:textId="77777777" w:rsidR="0085513D" w:rsidRPr="0085513D" w:rsidRDefault="0085513D">
            <w:r w:rsidRPr="0085513D">
              <w:rPr>
                <w:b/>
              </w:rPr>
              <w:t>Axe and saw</w:t>
            </w:r>
            <w:r w:rsidRPr="0085513D">
              <w:t xml:space="preserve"> – risk of injury to non-participants or observers.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E454" w14:textId="77777777" w:rsidR="0085513D" w:rsidRPr="0085513D" w:rsidRDefault="0085513D">
            <w:r w:rsidRPr="0085513D">
              <w:t>All present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2A35" w14:textId="34C8614B" w:rsidR="0085513D" w:rsidRPr="0085513D" w:rsidRDefault="00EB6BEC" w:rsidP="00EB6BEC">
            <w:pPr>
              <w:pStyle w:val="ListParagraph"/>
              <w:numPr>
                <w:ilvl w:val="0"/>
                <w:numId w:val="25"/>
              </w:numPr>
            </w:pPr>
            <w:r>
              <w:t>Patrols</w:t>
            </w:r>
            <w:r w:rsidR="0085513D" w:rsidRPr="0085513D">
              <w:t xml:space="preserve"> should create a safe cutting</w:t>
            </w:r>
            <w:r>
              <w:t xml:space="preserve"> area</w:t>
            </w:r>
            <w:r w:rsidR="0085513D" w:rsidRPr="0085513D">
              <w:t xml:space="preserve">. </w:t>
            </w:r>
          </w:p>
        </w:tc>
      </w:tr>
      <w:tr w:rsidR="0085513D" w14:paraId="756964D1" w14:textId="77777777" w:rsidTr="0085513D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3C7" w14:textId="77777777" w:rsidR="0085513D" w:rsidRPr="0085513D" w:rsidRDefault="0085513D">
            <w:r w:rsidRPr="0085513D">
              <w:rPr>
                <w:b/>
              </w:rPr>
              <w:t>Heat sources</w:t>
            </w:r>
            <w:r w:rsidRPr="0085513D">
              <w:t xml:space="preserve"> – risk of burns from mistakes or misuse.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4F0C" w14:textId="77777777" w:rsidR="0085513D" w:rsidRPr="0085513D" w:rsidRDefault="0085513D">
            <w:pPr>
              <w:rPr>
                <w:color w:val="FF0000"/>
              </w:rPr>
            </w:pPr>
            <w:r w:rsidRPr="0085513D">
              <w:t>All present</w:t>
            </w:r>
            <w:r w:rsidRPr="0085513D">
              <w:rPr>
                <w:color w:val="FF0000"/>
              </w:rPr>
              <w:t xml:space="preserve"> 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C76" w14:textId="7AC76924" w:rsidR="0085513D" w:rsidRPr="0085513D" w:rsidRDefault="0085513D" w:rsidP="00EB6BEC">
            <w:pPr>
              <w:pStyle w:val="ListParagraph"/>
              <w:numPr>
                <w:ilvl w:val="0"/>
                <w:numId w:val="25"/>
              </w:numPr>
            </w:pPr>
            <w:r w:rsidRPr="0085513D">
              <w:t xml:space="preserve">Leaders </w:t>
            </w:r>
            <w:r w:rsidR="00096FC5">
              <w:t xml:space="preserve">or older PLs or PSs </w:t>
            </w:r>
            <w:r w:rsidRPr="0085513D">
              <w:t xml:space="preserve">should supervise </w:t>
            </w:r>
            <w:r w:rsidR="00096FC5">
              <w:t>younger members</w:t>
            </w:r>
            <w:r w:rsidR="00FA2C64">
              <w:t xml:space="preserve"> (tenderfoots)</w:t>
            </w:r>
            <w:r w:rsidRPr="0085513D">
              <w:t xml:space="preserve"> when </w:t>
            </w:r>
            <w:proofErr w:type="gramStart"/>
            <w:r w:rsidRPr="0085513D">
              <w:t>they’re</w:t>
            </w:r>
            <w:proofErr w:type="gramEnd"/>
            <w:r w:rsidRPr="0085513D">
              <w:t xml:space="preserve"> using hot items (such as ovens, stoves, candles, and fires). There should be at least one adult </w:t>
            </w:r>
            <w:r w:rsidR="00096FC5">
              <w:t xml:space="preserve">or competent </w:t>
            </w:r>
            <w:r w:rsidR="00AE42E5">
              <w:t>PL/PS with each group/patrol</w:t>
            </w:r>
          </w:p>
          <w:p w14:paraId="72D5212F" w14:textId="77777777" w:rsidR="0085513D" w:rsidRPr="0085513D" w:rsidRDefault="0085513D" w:rsidP="00EB6BEC">
            <w:pPr>
              <w:pStyle w:val="ListParagraph"/>
              <w:numPr>
                <w:ilvl w:val="0"/>
                <w:numId w:val="25"/>
              </w:numPr>
            </w:pPr>
            <w:r w:rsidRPr="0085513D">
              <w:t xml:space="preserve">Everyone should use heat sources in a defined area to restrict access. </w:t>
            </w:r>
          </w:p>
          <w:p w14:paraId="7566EB80" w14:textId="149F15F3" w:rsidR="0085513D" w:rsidRPr="0085513D" w:rsidRDefault="00F95A04" w:rsidP="00EB6BEC">
            <w:pPr>
              <w:pStyle w:val="ListParagraph"/>
              <w:numPr>
                <w:ilvl w:val="0"/>
                <w:numId w:val="25"/>
              </w:numPr>
            </w:pPr>
            <w:r w:rsidRPr="0085513D">
              <w:t>Leaders</w:t>
            </w:r>
            <w:r>
              <w:t>/PLs/PSs</w:t>
            </w:r>
            <w:r w:rsidRPr="0085513D">
              <w:t xml:space="preserve"> </w:t>
            </w:r>
            <w:r w:rsidR="0085513D" w:rsidRPr="0085513D">
              <w:t xml:space="preserve">should brief </w:t>
            </w:r>
            <w:r w:rsidR="00AE42E5">
              <w:t>members</w:t>
            </w:r>
            <w:r w:rsidR="0085513D" w:rsidRPr="0085513D">
              <w:t xml:space="preserve"> on the safe use of the heart sources before they use them.</w:t>
            </w:r>
          </w:p>
          <w:p w14:paraId="08658F34" w14:textId="138151C1" w:rsidR="0085513D" w:rsidRPr="0085513D" w:rsidRDefault="00F95A04" w:rsidP="00EB6BEC">
            <w:pPr>
              <w:pStyle w:val="ListParagraph"/>
              <w:numPr>
                <w:ilvl w:val="0"/>
                <w:numId w:val="25"/>
              </w:numPr>
            </w:pPr>
            <w:r w:rsidRPr="0085513D">
              <w:lastRenderedPageBreak/>
              <w:t>Leaders</w:t>
            </w:r>
            <w:r>
              <w:t>/PLs/PSs</w:t>
            </w:r>
            <w:r w:rsidRPr="0085513D">
              <w:t xml:space="preserve"> </w:t>
            </w:r>
            <w:r w:rsidR="0085513D" w:rsidRPr="0085513D">
              <w:t xml:space="preserve">should brief </w:t>
            </w:r>
            <w:r w:rsidR="00AE42E5">
              <w:t>members</w:t>
            </w:r>
            <w:r w:rsidR="0085513D" w:rsidRPr="0085513D">
              <w:t xml:space="preserve"> on possible dangers of </w:t>
            </w:r>
            <w:proofErr w:type="spellStart"/>
            <w:r w:rsidR="0085513D" w:rsidRPr="0085513D">
              <w:t>firelighting</w:t>
            </w:r>
            <w:proofErr w:type="spellEnd"/>
            <w:r w:rsidR="0085513D" w:rsidRPr="0085513D">
              <w:t xml:space="preserve">. </w:t>
            </w:r>
          </w:p>
          <w:p w14:paraId="3B33818D" w14:textId="6295E778" w:rsidR="0085513D" w:rsidRPr="0085513D" w:rsidRDefault="00F95A04" w:rsidP="00EB6BEC">
            <w:pPr>
              <w:pStyle w:val="ListParagraph"/>
              <w:numPr>
                <w:ilvl w:val="0"/>
                <w:numId w:val="25"/>
              </w:numPr>
            </w:pPr>
            <w:r w:rsidRPr="0085513D">
              <w:t>Leaders</w:t>
            </w:r>
            <w:r>
              <w:t>/PLs/PSs</w:t>
            </w:r>
            <w:r w:rsidRPr="0085513D">
              <w:t xml:space="preserve"> </w:t>
            </w:r>
            <w:r w:rsidR="0085513D" w:rsidRPr="0085513D">
              <w:t xml:space="preserve">should explain the rules for </w:t>
            </w:r>
            <w:proofErr w:type="spellStart"/>
            <w:r w:rsidR="0085513D" w:rsidRPr="0085513D">
              <w:t>firelighting</w:t>
            </w:r>
            <w:proofErr w:type="spellEnd"/>
            <w:r w:rsidR="0085513D" w:rsidRPr="0085513D">
              <w:t xml:space="preserve"> including: no picking up burning wood, no throwing objects onto the fire, and hold wood by one end and lower it onto the fire with your fingers near the ground.</w:t>
            </w:r>
          </w:p>
          <w:p w14:paraId="41FDD8E3" w14:textId="77777777" w:rsidR="0085513D" w:rsidRPr="0085513D" w:rsidRDefault="0085513D" w:rsidP="00EB6BEC">
            <w:pPr>
              <w:pStyle w:val="ListParagraph"/>
              <w:numPr>
                <w:ilvl w:val="0"/>
                <w:numId w:val="25"/>
              </w:numPr>
            </w:pPr>
            <w:r w:rsidRPr="0085513D">
              <w:t>No one should wear loose clothing around fires – watch out for open coats.</w:t>
            </w:r>
          </w:p>
          <w:p w14:paraId="42764E10" w14:textId="78510FC8" w:rsidR="0085513D" w:rsidRPr="0085513D" w:rsidRDefault="00F95A04" w:rsidP="00EB6BEC">
            <w:pPr>
              <w:pStyle w:val="ListParagraph"/>
              <w:numPr>
                <w:ilvl w:val="0"/>
                <w:numId w:val="25"/>
              </w:numPr>
            </w:pPr>
            <w:r w:rsidRPr="0085513D">
              <w:t>Leaders</w:t>
            </w:r>
            <w:r>
              <w:t>/PLs/PSs</w:t>
            </w:r>
            <w:r w:rsidRPr="0085513D">
              <w:t xml:space="preserve"> </w:t>
            </w:r>
            <w:r w:rsidR="0085513D" w:rsidRPr="0085513D">
              <w:t xml:space="preserve">should make sure there is a first aid kit available </w:t>
            </w:r>
          </w:p>
          <w:p w14:paraId="4F9D8E3C" w14:textId="2A2D91F4" w:rsidR="0085513D" w:rsidRPr="0085513D" w:rsidRDefault="00835E6B" w:rsidP="00EB6BEC">
            <w:pPr>
              <w:pStyle w:val="ListParagraph"/>
              <w:numPr>
                <w:ilvl w:val="0"/>
                <w:numId w:val="25"/>
              </w:numPr>
            </w:pPr>
            <w:r>
              <w:t>Patrols/Groups</w:t>
            </w:r>
            <w:r w:rsidR="0085513D" w:rsidRPr="0085513D">
              <w:t xml:space="preserve"> should make sure that cold water is available nearby – there should be at least a bucket, running water is best if possible.</w:t>
            </w:r>
          </w:p>
          <w:p w14:paraId="6A666624" w14:textId="77777777" w:rsidR="0085513D" w:rsidRPr="0085513D" w:rsidRDefault="0085513D"/>
        </w:tc>
      </w:tr>
      <w:tr w:rsidR="0085513D" w14:paraId="5130A3B5" w14:textId="77777777" w:rsidTr="0085513D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9BC9" w14:textId="77777777" w:rsidR="0085513D" w:rsidRPr="0085513D" w:rsidRDefault="0085513D">
            <w:pPr>
              <w:rPr>
                <w:b/>
              </w:rPr>
            </w:pPr>
            <w:r w:rsidRPr="0085513D">
              <w:rPr>
                <w:b/>
              </w:rPr>
              <w:lastRenderedPageBreak/>
              <w:t>Fire – </w:t>
            </w:r>
            <w:r w:rsidRPr="0085513D">
              <w:t>risk of</w:t>
            </w:r>
            <w:r w:rsidRPr="0085513D">
              <w:rPr>
                <w:b/>
              </w:rPr>
              <w:t xml:space="preserve"> </w:t>
            </w:r>
            <w:r w:rsidRPr="0085513D">
              <w:t>uncontrolled</w:t>
            </w:r>
            <w:r w:rsidRPr="0085513D">
              <w:rPr>
                <w:b/>
              </w:rPr>
              <w:t xml:space="preserve"> </w:t>
            </w:r>
            <w:r w:rsidRPr="0085513D">
              <w:t>spread of fire.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6395" w14:textId="77777777" w:rsidR="0085513D" w:rsidRPr="0085513D" w:rsidRDefault="0085513D">
            <w:r w:rsidRPr="0085513D">
              <w:t>All present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4BE" w14:textId="2A1310AD" w:rsidR="0085513D" w:rsidRPr="0085513D" w:rsidRDefault="00BD0C5F" w:rsidP="000B21C7">
            <w:pPr>
              <w:pStyle w:val="ListParagraph"/>
              <w:numPr>
                <w:ilvl w:val="0"/>
                <w:numId w:val="26"/>
              </w:numPr>
            </w:pPr>
            <w:r w:rsidRPr="0085513D">
              <w:t>Leaders</w:t>
            </w:r>
            <w:r>
              <w:t>/PLs/PSs</w:t>
            </w:r>
            <w:r w:rsidRPr="0085513D">
              <w:t xml:space="preserve"> </w:t>
            </w:r>
            <w:r w:rsidR="0085513D" w:rsidRPr="0085513D">
              <w:t xml:space="preserve">should make sure </w:t>
            </w:r>
            <w:proofErr w:type="spellStart"/>
            <w:r w:rsidR="0085513D" w:rsidRPr="0085513D">
              <w:t>fire fighting</w:t>
            </w:r>
            <w:proofErr w:type="spellEnd"/>
            <w:r w:rsidR="0085513D" w:rsidRPr="0085513D">
              <w:t xml:space="preserve"> equipment is available</w:t>
            </w:r>
            <w:r w:rsidR="000041BC">
              <w:t xml:space="preserve"> i.e. </w:t>
            </w:r>
            <w:r w:rsidR="0085513D" w:rsidRPr="0085513D">
              <w:t xml:space="preserve">extinguishers, fire buckets, spades, </w:t>
            </w:r>
            <w:r w:rsidR="000041BC">
              <w:t>or</w:t>
            </w:r>
            <w:r w:rsidR="0085513D" w:rsidRPr="0085513D">
              <w:t xml:space="preserve"> beaters. </w:t>
            </w:r>
          </w:p>
          <w:p w14:paraId="24D17028" w14:textId="77777777" w:rsidR="0085513D" w:rsidRPr="0085513D" w:rsidRDefault="0085513D" w:rsidP="000B21C7">
            <w:pPr>
              <w:pStyle w:val="ListParagraph"/>
              <w:numPr>
                <w:ilvl w:val="0"/>
                <w:numId w:val="26"/>
              </w:numPr>
            </w:pPr>
            <w:r w:rsidRPr="0085513D">
              <w:t xml:space="preserve">Everyone should think about location of their fire. It </w:t>
            </w:r>
            <w:proofErr w:type="gramStart"/>
            <w:r w:rsidRPr="0085513D">
              <w:t>shouldn’t</w:t>
            </w:r>
            <w:proofErr w:type="gramEnd"/>
            <w:r w:rsidRPr="0085513D">
              <w:t xml:space="preserve"> be near tents or directly under low trees that could be damaged. They should also consider wind direction.</w:t>
            </w:r>
          </w:p>
          <w:p w14:paraId="11C86E00" w14:textId="65831AB1" w:rsidR="0085513D" w:rsidRPr="0085513D" w:rsidRDefault="0085513D" w:rsidP="000B21C7">
            <w:pPr>
              <w:pStyle w:val="ListParagraph"/>
              <w:numPr>
                <w:ilvl w:val="0"/>
                <w:numId w:val="26"/>
              </w:numPr>
            </w:pPr>
            <w:r w:rsidRPr="0085513D">
              <w:t xml:space="preserve">Everyone should build </w:t>
            </w:r>
            <w:r w:rsidR="000041BC">
              <w:t>his/her</w:t>
            </w:r>
            <w:r w:rsidRPr="0085513D">
              <w:t xml:space="preserve"> fire off the ground on a stable platform</w:t>
            </w:r>
            <w:r w:rsidR="00E01E4E">
              <w:t xml:space="preserve">, or make a suitable trench ensuring that </w:t>
            </w:r>
            <w:r w:rsidR="00540242">
              <w:t xml:space="preserve">the grass is removed in the form of </w:t>
            </w:r>
            <w:r w:rsidR="00E01E4E">
              <w:t xml:space="preserve">a ‘turf’ </w:t>
            </w:r>
            <w:r w:rsidR="00540242">
              <w:t>so that it can be replaced af</w:t>
            </w:r>
            <w:r w:rsidR="00820596">
              <w:t>terwards</w:t>
            </w:r>
          </w:p>
        </w:tc>
      </w:tr>
      <w:tr w:rsidR="0085513D" w14:paraId="28085328" w14:textId="77777777" w:rsidTr="0085513D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8F3" w14:textId="77777777" w:rsidR="0085513D" w:rsidRPr="0085513D" w:rsidRDefault="0085513D">
            <w:r w:rsidRPr="0085513D">
              <w:rPr>
                <w:b/>
              </w:rPr>
              <w:t xml:space="preserve">Behaviour </w:t>
            </w:r>
            <w:r w:rsidRPr="0085513D">
              <w:t>– risk of overexcitement, especially at the start and end of the meeting.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D615" w14:textId="77777777" w:rsidR="0085513D" w:rsidRPr="0085513D" w:rsidRDefault="0085513D">
            <w:r w:rsidRPr="0085513D">
              <w:t>All present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B5E" w14:textId="6B69A1B3" w:rsidR="0085513D" w:rsidRPr="0085513D" w:rsidRDefault="0085513D" w:rsidP="00820596">
            <w:pPr>
              <w:pStyle w:val="ListParagraph"/>
              <w:numPr>
                <w:ilvl w:val="0"/>
                <w:numId w:val="27"/>
              </w:numPr>
            </w:pPr>
            <w:r w:rsidRPr="0085513D">
              <w:t xml:space="preserve">Everyone should follow the </w:t>
            </w:r>
            <w:r w:rsidR="00820596">
              <w:t>law and promise that sets out</w:t>
            </w:r>
            <w:r w:rsidRPr="0085513D">
              <w:t xml:space="preserve"> clear expectations of behaviour.</w:t>
            </w:r>
          </w:p>
          <w:p w14:paraId="5B1DF9E3" w14:textId="77777777" w:rsidR="0085513D" w:rsidRPr="0085513D" w:rsidRDefault="0085513D"/>
        </w:tc>
      </w:tr>
      <w:tr w:rsidR="0085513D" w14:paraId="6675D667" w14:textId="77777777" w:rsidTr="0085513D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E944" w14:textId="77777777" w:rsidR="0085513D" w:rsidRPr="0085513D" w:rsidRDefault="0085513D">
            <w:pPr>
              <w:rPr>
                <w:b/>
              </w:rPr>
            </w:pPr>
            <w:r w:rsidRPr="0085513D">
              <w:rPr>
                <w:b/>
              </w:rPr>
              <w:t xml:space="preserve">Pollutants from wood </w:t>
            </w:r>
            <w:r w:rsidRPr="0085513D">
              <w:t>– risk of ill health to participants.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756" w14:textId="77777777" w:rsidR="0085513D" w:rsidRPr="0085513D" w:rsidRDefault="0085513D">
            <w:r w:rsidRPr="0085513D">
              <w:t>All present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2BB7" w14:textId="77777777" w:rsidR="0085513D" w:rsidRPr="0085513D" w:rsidRDefault="0085513D" w:rsidP="00820596">
            <w:pPr>
              <w:pStyle w:val="ListParagraph"/>
              <w:numPr>
                <w:ilvl w:val="0"/>
                <w:numId w:val="27"/>
              </w:numPr>
            </w:pPr>
            <w:r w:rsidRPr="0085513D">
              <w:t xml:space="preserve">Everyone should only use natural wood for cooking.  </w:t>
            </w:r>
          </w:p>
          <w:p w14:paraId="7C2304A3" w14:textId="4797C67C" w:rsidR="0085513D" w:rsidRPr="0085513D" w:rsidRDefault="0085513D" w:rsidP="00820596">
            <w:pPr>
              <w:pStyle w:val="ListParagraph"/>
              <w:numPr>
                <w:ilvl w:val="0"/>
                <w:numId w:val="27"/>
              </w:numPr>
            </w:pPr>
            <w:r w:rsidRPr="0085513D">
              <w:t>Leaders</w:t>
            </w:r>
            <w:r w:rsidR="008416B1">
              <w:t>/PLs/PSs</w:t>
            </w:r>
            <w:r w:rsidRPr="0085513D">
              <w:t xml:space="preserve"> should check the wood from wood pile before the meeting and decide whether </w:t>
            </w:r>
            <w:proofErr w:type="gramStart"/>
            <w:r w:rsidRPr="0085513D">
              <w:t>it’s</w:t>
            </w:r>
            <w:proofErr w:type="gramEnd"/>
            <w:r w:rsidRPr="0085513D">
              <w:t xml:space="preserve"> suitable.  </w:t>
            </w:r>
          </w:p>
        </w:tc>
      </w:tr>
    </w:tbl>
    <w:p w14:paraId="55F7D827" w14:textId="2D966053" w:rsidR="00E13E53" w:rsidRPr="00E13E53" w:rsidRDefault="00E13E53" w:rsidP="00E13E53">
      <w:pPr>
        <w:tabs>
          <w:tab w:val="left" w:pos="975"/>
        </w:tabs>
      </w:pPr>
    </w:p>
    <w:sectPr w:rsidR="00E13E53" w:rsidRPr="00E13E53" w:rsidSect="00A07C0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4E73" w14:textId="77777777" w:rsidR="00520595" w:rsidRDefault="00520595" w:rsidP="00316E7A">
      <w:pPr>
        <w:spacing w:after="0" w:line="240" w:lineRule="auto"/>
      </w:pPr>
      <w:r>
        <w:separator/>
      </w:r>
    </w:p>
  </w:endnote>
  <w:endnote w:type="continuationSeparator" w:id="0">
    <w:p w14:paraId="0C189302" w14:textId="77777777" w:rsidR="00520595" w:rsidRDefault="00520595" w:rsidP="00316E7A">
      <w:pPr>
        <w:spacing w:after="0" w:line="240" w:lineRule="auto"/>
      </w:pPr>
      <w:r>
        <w:continuationSeparator/>
      </w:r>
    </w:p>
  </w:endnote>
  <w:endnote w:type="continuationNotice" w:id="1">
    <w:p w14:paraId="2EDF1935" w14:textId="77777777" w:rsidR="00520595" w:rsidRDefault="00520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B0A9" w14:textId="201220AF" w:rsidR="00A96B96" w:rsidRDefault="00F31680">
    <w:pPr>
      <w:pStyle w:val="Footer"/>
    </w:pPr>
    <w:r w:rsidRPr="00F31680">
      <w:rPr>
        <w:sz w:val="20"/>
        <w:szCs w:val="20"/>
      </w:rPr>
      <w:t xml:space="preserve">Version </w:t>
    </w:r>
    <w:r w:rsidR="00E13E53">
      <w:rPr>
        <w:sz w:val="20"/>
        <w:szCs w:val="20"/>
      </w:rPr>
      <w:t>1.0.0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204EC" w14:textId="77777777" w:rsidR="00520595" w:rsidRDefault="00520595" w:rsidP="00316E7A">
      <w:pPr>
        <w:spacing w:after="0" w:line="240" w:lineRule="auto"/>
      </w:pPr>
      <w:r>
        <w:separator/>
      </w:r>
    </w:p>
  </w:footnote>
  <w:footnote w:type="continuationSeparator" w:id="0">
    <w:p w14:paraId="65360EE4" w14:textId="77777777" w:rsidR="00520595" w:rsidRDefault="00520595" w:rsidP="00316E7A">
      <w:pPr>
        <w:spacing w:after="0" w:line="240" w:lineRule="auto"/>
      </w:pPr>
      <w:r>
        <w:continuationSeparator/>
      </w:r>
    </w:p>
  </w:footnote>
  <w:footnote w:type="continuationNotice" w:id="1">
    <w:p w14:paraId="49ADABDE" w14:textId="77777777" w:rsidR="00520595" w:rsidRDefault="00520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8E9E" w14:textId="5366B2CF" w:rsidR="00316E7A" w:rsidRPr="007F185D" w:rsidRDefault="00316E7A" w:rsidP="00316E7A">
    <w:pPr>
      <w:pStyle w:val="Header"/>
      <w:jc w:val="center"/>
      <w:rPr>
        <w:rFonts w:ascii="Convergence" w:hAnsi="Convergence"/>
        <w:color w:val="FF0000"/>
        <w:sz w:val="44"/>
        <w:szCs w:val="48"/>
      </w:rPr>
    </w:pPr>
    <w:r w:rsidRPr="00CA3FC4">
      <w:rPr>
        <w:noProof/>
        <w:color w:val="FF0000"/>
        <w:sz w:val="16"/>
        <w:lang w:eastAsia="en-GB"/>
      </w:rPr>
      <w:drawing>
        <wp:anchor distT="0" distB="0" distL="114300" distR="114300" simplePos="0" relativeHeight="251658241" behindDoc="0" locked="0" layoutInCell="1" allowOverlap="1" wp14:anchorId="060C200A" wp14:editId="6E6D9189">
          <wp:simplePos x="0" y="0"/>
          <wp:positionH relativeFrom="column">
            <wp:posOffset>8564880</wp:posOffset>
          </wp:positionH>
          <wp:positionV relativeFrom="paragraph">
            <wp:posOffset>56515</wp:posOffset>
          </wp:positionV>
          <wp:extent cx="1235075" cy="478790"/>
          <wp:effectExtent l="0" t="0" r="3175" b="0"/>
          <wp:wrapNone/>
          <wp:docPr id="2" name="Picture 2" descr="BGS-Badge-Flat-902x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S-Badge-Flat-902x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noProof/>
        <w:color w:val="FF0000"/>
        <w:sz w:val="36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1CEDF67C" wp14:editId="2ABFDADF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212850" cy="479425"/>
          <wp:effectExtent l="0" t="0" r="6350" b="0"/>
          <wp:wrapNone/>
          <wp:docPr id="1" name="Picture 1" descr="BBS-Badge-flat-903x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S-Badge-flat-903x3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color w:val="FF0000"/>
        <w:sz w:val="36"/>
        <w:szCs w:val="48"/>
      </w:rPr>
      <w:t>The</w:t>
    </w:r>
    <w:r>
      <w:rPr>
        <w:rFonts w:ascii="Convergence" w:hAnsi="Convergence"/>
        <w:color w:val="FF0000"/>
        <w:sz w:val="44"/>
        <w:szCs w:val="48"/>
      </w:rPr>
      <w:t xml:space="preserve"> </w:t>
    </w:r>
    <w:r w:rsidRPr="007F185D">
      <w:rPr>
        <w:rFonts w:ascii="Convergence" w:hAnsi="Convergence"/>
        <w:color w:val="FF0000"/>
        <w:sz w:val="44"/>
        <w:szCs w:val="48"/>
      </w:rPr>
      <w:t xml:space="preserve">British Boy Scouts </w:t>
    </w:r>
    <w:r w:rsidRPr="00CA3FC4">
      <w:rPr>
        <w:rFonts w:ascii="Convergence" w:hAnsi="Convergence"/>
        <w:color w:val="FF0000"/>
        <w:sz w:val="36"/>
        <w:szCs w:val="48"/>
      </w:rPr>
      <w:t>and</w:t>
    </w:r>
  </w:p>
  <w:p w14:paraId="1CF38E80" w14:textId="20D4FD8C" w:rsidR="00F76CC6" w:rsidRDefault="00316E7A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  <w:r>
      <w:rPr>
        <w:rFonts w:ascii="Convergence" w:hAnsi="Convergence"/>
        <w:color w:val="FF0000"/>
        <w:sz w:val="44"/>
        <w:szCs w:val="48"/>
      </w:rPr>
      <w:t xml:space="preserve">British </w:t>
    </w:r>
    <w:r w:rsidRPr="007F185D">
      <w:rPr>
        <w:rFonts w:ascii="Convergence" w:hAnsi="Convergence"/>
        <w:color w:val="FF0000"/>
        <w:sz w:val="44"/>
        <w:szCs w:val="48"/>
      </w:rPr>
      <w:t xml:space="preserve">Girl Scouts </w:t>
    </w:r>
    <w:r w:rsidRPr="00CA3FC4">
      <w:rPr>
        <w:rFonts w:ascii="Convergence" w:hAnsi="Convergence"/>
        <w:color w:val="FF0000"/>
        <w:sz w:val="36"/>
        <w:szCs w:val="48"/>
      </w:rPr>
      <w:t>Association</w:t>
    </w:r>
  </w:p>
  <w:p w14:paraId="260FA2A7" w14:textId="77777777" w:rsidR="00297DEE" w:rsidRPr="00F76CC6" w:rsidRDefault="00297DEE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772"/>
    <w:multiLevelType w:val="hybridMultilevel"/>
    <w:tmpl w:val="5EF44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1337"/>
    <w:multiLevelType w:val="hybridMultilevel"/>
    <w:tmpl w:val="C948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4A2"/>
    <w:multiLevelType w:val="hybridMultilevel"/>
    <w:tmpl w:val="198C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CB4"/>
    <w:multiLevelType w:val="hybridMultilevel"/>
    <w:tmpl w:val="0C928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C1BCE"/>
    <w:multiLevelType w:val="hybridMultilevel"/>
    <w:tmpl w:val="8A16E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E583E"/>
    <w:multiLevelType w:val="hybridMultilevel"/>
    <w:tmpl w:val="26C49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B1CD8"/>
    <w:multiLevelType w:val="hybridMultilevel"/>
    <w:tmpl w:val="76680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E4527"/>
    <w:multiLevelType w:val="hybridMultilevel"/>
    <w:tmpl w:val="ADEE268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63F"/>
    <w:multiLevelType w:val="hybridMultilevel"/>
    <w:tmpl w:val="85C0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A450C"/>
    <w:multiLevelType w:val="hybridMultilevel"/>
    <w:tmpl w:val="4056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B18B1"/>
    <w:multiLevelType w:val="hybridMultilevel"/>
    <w:tmpl w:val="13F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6110A"/>
    <w:multiLevelType w:val="hybridMultilevel"/>
    <w:tmpl w:val="84E60B1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96B60"/>
    <w:multiLevelType w:val="hybridMultilevel"/>
    <w:tmpl w:val="2DD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7614"/>
    <w:multiLevelType w:val="hybridMultilevel"/>
    <w:tmpl w:val="484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C511B"/>
    <w:multiLevelType w:val="hybridMultilevel"/>
    <w:tmpl w:val="78B41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4B4442"/>
    <w:multiLevelType w:val="hybridMultilevel"/>
    <w:tmpl w:val="CE20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083"/>
    <w:multiLevelType w:val="hybridMultilevel"/>
    <w:tmpl w:val="927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85FE1"/>
    <w:multiLevelType w:val="hybridMultilevel"/>
    <w:tmpl w:val="015A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5598"/>
    <w:multiLevelType w:val="hybridMultilevel"/>
    <w:tmpl w:val="E67E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003B7"/>
    <w:multiLevelType w:val="hybridMultilevel"/>
    <w:tmpl w:val="BA1A0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21C4C"/>
    <w:multiLevelType w:val="hybridMultilevel"/>
    <w:tmpl w:val="757A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007C0"/>
    <w:multiLevelType w:val="hybridMultilevel"/>
    <w:tmpl w:val="E1F03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46066"/>
    <w:multiLevelType w:val="hybridMultilevel"/>
    <w:tmpl w:val="FC8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D5ABD"/>
    <w:multiLevelType w:val="hybridMultilevel"/>
    <w:tmpl w:val="BF662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E1552"/>
    <w:multiLevelType w:val="hybridMultilevel"/>
    <w:tmpl w:val="57826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0965FE"/>
    <w:multiLevelType w:val="multilevel"/>
    <w:tmpl w:val="3BD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B77E9"/>
    <w:multiLevelType w:val="hybridMultilevel"/>
    <w:tmpl w:val="D60C261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3"/>
  </w:num>
  <w:num w:numId="5">
    <w:abstractNumId w:val="4"/>
  </w:num>
  <w:num w:numId="6">
    <w:abstractNumId w:val="22"/>
  </w:num>
  <w:num w:numId="7">
    <w:abstractNumId w:val="19"/>
  </w:num>
  <w:num w:numId="8">
    <w:abstractNumId w:val="9"/>
  </w:num>
  <w:num w:numId="9">
    <w:abstractNumId w:val="25"/>
  </w:num>
  <w:num w:numId="10">
    <w:abstractNumId w:val="10"/>
  </w:num>
  <w:num w:numId="11">
    <w:abstractNumId w:val="18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17"/>
  </w:num>
  <w:num w:numId="17">
    <w:abstractNumId w:val="1"/>
  </w:num>
  <w:num w:numId="18">
    <w:abstractNumId w:val="8"/>
  </w:num>
  <w:num w:numId="19">
    <w:abstractNumId w:val="6"/>
  </w:num>
  <w:num w:numId="20">
    <w:abstractNumId w:val="0"/>
  </w:num>
  <w:num w:numId="21">
    <w:abstractNumId w:val="5"/>
  </w:num>
  <w:num w:numId="22">
    <w:abstractNumId w:val="20"/>
  </w:num>
  <w:num w:numId="23">
    <w:abstractNumId w:val="21"/>
  </w:num>
  <w:num w:numId="24">
    <w:abstractNumId w:val="23"/>
  </w:num>
  <w:num w:numId="25">
    <w:abstractNumId w:val="3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35"/>
    <w:rsid w:val="000025F1"/>
    <w:rsid w:val="000041BC"/>
    <w:rsid w:val="00004845"/>
    <w:rsid w:val="00013939"/>
    <w:rsid w:val="000302A6"/>
    <w:rsid w:val="00047C6E"/>
    <w:rsid w:val="000548BA"/>
    <w:rsid w:val="00063C80"/>
    <w:rsid w:val="000704D6"/>
    <w:rsid w:val="00086A6E"/>
    <w:rsid w:val="000907AF"/>
    <w:rsid w:val="00096842"/>
    <w:rsid w:val="00096FC5"/>
    <w:rsid w:val="000A52FF"/>
    <w:rsid w:val="000B21C7"/>
    <w:rsid w:val="000D4BD8"/>
    <w:rsid w:val="00100B63"/>
    <w:rsid w:val="001025AA"/>
    <w:rsid w:val="0010633A"/>
    <w:rsid w:val="001111F1"/>
    <w:rsid w:val="00121ADD"/>
    <w:rsid w:val="00123FB4"/>
    <w:rsid w:val="0014124A"/>
    <w:rsid w:val="00142DF4"/>
    <w:rsid w:val="001454E1"/>
    <w:rsid w:val="0016151D"/>
    <w:rsid w:val="00174156"/>
    <w:rsid w:val="0017602D"/>
    <w:rsid w:val="00177169"/>
    <w:rsid w:val="0019306E"/>
    <w:rsid w:val="001A1937"/>
    <w:rsid w:val="001B1E95"/>
    <w:rsid w:val="001C2447"/>
    <w:rsid w:val="001C26DB"/>
    <w:rsid w:val="001D601D"/>
    <w:rsid w:val="001E19ED"/>
    <w:rsid w:val="001E5DB3"/>
    <w:rsid w:val="00201E9D"/>
    <w:rsid w:val="002047DF"/>
    <w:rsid w:val="00210060"/>
    <w:rsid w:val="0022009D"/>
    <w:rsid w:val="00253C5E"/>
    <w:rsid w:val="00256360"/>
    <w:rsid w:val="002622CA"/>
    <w:rsid w:val="00263971"/>
    <w:rsid w:val="00266F0A"/>
    <w:rsid w:val="0026777C"/>
    <w:rsid w:val="00297DEE"/>
    <w:rsid w:val="002A169B"/>
    <w:rsid w:val="002A23A5"/>
    <w:rsid w:val="002A6523"/>
    <w:rsid w:val="002B2F93"/>
    <w:rsid w:val="002C43CC"/>
    <w:rsid w:val="002C7FC9"/>
    <w:rsid w:val="002D11CE"/>
    <w:rsid w:val="002E75EB"/>
    <w:rsid w:val="002F5501"/>
    <w:rsid w:val="003011CD"/>
    <w:rsid w:val="0030553A"/>
    <w:rsid w:val="00307F8C"/>
    <w:rsid w:val="00312F04"/>
    <w:rsid w:val="00316E7A"/>
    <w:rsid w:val="00320FA7"/>
    <w:rsid w:val="00321B6B"/>
    <w:rsid w:val="0034304A"/>
    <w:rsid w:val="003562A7"/>
    <w:rsid w:val="003670E5"/>
    <w:rsid w:val="00371452"/>
    <w:rsid w:val="003814D5"/>
    <w:rsid w:val="00391035"/>
    <w:rsid w:val="003A3638"/>
    <w:rsid w:val="003A5382"/>
    <w:rsid w:val="003A7393"/>
    <w:rsid w:val="003B0404"/>
    <w:rsid w:val="003B4646"/>
    <w:rsid w:val="003C6D38"/>
    <w:rsid w:val="003D62A4"/>
    <w:rsid w:val="003D6953"/>
    <w:rsid w:val="003F2A2D"/>
    <w:rsid w:val="00406D74"/>
    <w:rsid w:val="004079DB"/>
    <w:rsid w:val="00416C7B"/>
    <w:rsid w:val="00432375"/>
    <w:rsid w:val="00441F4F"/>
    <w:rsid w:val="004456C8"/>
    <w:rsid w:val="00452092"/>
    <w:rsid w:val="00466C2C"/>
    <w:rsid w:val="004677BB"/>
    <w:rsid w:val="00484AA4"/>
    <w:rsid w:val="0048737C"/>
    <w:rsid w:val="00497FCD"/>
    <w:rsid w:val="004A03C1"/>
    <w:rsid w:val="004B6A50"/>
    <w:rsid w:val="004D5126"/>
    <w:rsid w:val="004D5E3D"/>
    <w:rsid w:val="005070A9"/>
    <w:rsid w:val="00512959"/>
    <w:rsid w:val="00512AEB"/>
    <w:rsid w:val="00513659"/>
    <w:rsid w:val="00520595"/>
    <w:rsid w:val="0052060F"/>
    <w:rsid w:val="00524BB9"/>
    <w:rsid w:val="00531A4F"/>
    <w:rsid w:val="00540242"/>
    <w:rsid w:val="00564BC1"/>
    <w:rsid w:val="005C24F1"/>
    <w:rsid w:val="005C3C89"/>
    <w:rsid w:val="005D2637"/>
    <w:rsid w:val="005E3D78"/>
    <w:rsid w:val="005E5D97"/>
    <w:rsid w:val="005F68C3"/>
    <w:rsid w:val="00604F1D"/>
    <w:rsid w:val="0061193D"/>
    <w:rsid w:val="006136EC"/>
    <w:rsid w:val="00615AC8"/>
    <w:rsid w:val="006254EB"/>
    <w:rsid w:val="006266CD"/>
    <w:rsid w:val="006323B3"/>
    <w:rsid w:val="00632E2F"/>
    <w:rsid w:val="00632EC8"/>
    <w:rsid w:val="0063326F"/>
    <w:rsid w:val="00654F08"/>
    <w:rsid w:val="00661C16"/>
    <w:rsid w:val="00663502"/>
    <w:rsid w:val="00663B1A"/>
    <w:rsid w:val="00664D83"/>
    <w:rsid w:val="00672A25"/>
    <w:rsid w:val="0068673E"/>
    <w:rsid w:val="00687F43"/>
    <w:rsid w:val="00693568"/>
    <w:rsid w:val="00693FF5"/>
    <w:rsid w:val="006965A8"/>
    <w:rsid w:val="006A3530"/>
    <w:rsid w:val="006B3970"/>
    <w:rsid w:val="006D4C70"/>
    <w:rsid w:val="006D7F0A"/>
    <w:rsid w:val="006F6C69"/>
    <w:rsid w:val="0070326A"/>
    <w:rsid w:val="00704DD3"/>
    <w:rsid w:val="00723317"/>
    <w:rsid w:val="00727571"/>
    <w:rsid w:val="00743993"/>
    <w:rsid w:val="007509D2"/>
    <w:rsid w:val="00760870"/>
    <w:rsid w:val="00765D2C"/>
    <w:rsid w:val="00774071"/>
    <w:rsid w:val="00782914"/>
    <w:rsid w:val="0078394D"/>
    <w:rsid w:val="00785BA3"/>
    <w:rsid w:val="007C0F93"/>
    <w:rsid w:val="007C7C9F"/>
    <w:rsid w:val="007D45D0"/>
    <w:rsid w:val="007D7609"/>
    <w:rsid w:val="00802C9B"/>
    <w:rsid w:val="00817900"/>
    <w:rsid w:val="00820596"/>
    <w:rsid w:val="0082665E"/>
    <w:rsid w:val="008357EC"/>
    <w:rsid w:val="00835E6B"/>
    <w:rsid w:val="008416B1"/>
    <w:rsid w:val="008442E1"/>
    <w:rsid w:val="0085219C"/>
    <w:rsid w:val="0085513D"/>
    <w:rsid w:val="00857060"/>
    <w:rsid w:val="00874166"/>
    <w:rsid w:val="00881B85"/>
    <w:rsid w:val="00883870"/>
    <w:rsid w:val="00890FF6"/>
    <w:rsid w:val="00892456"/>
    <w:rsid w:val="008977F8"/>
    <w:rsid w:val="008B6E67"/>
    <w:rsid w:val="008C246C"/>
    <w:rsid w:val="008C5985"/>
    <w:rsid w:val="00905310"/>
    <w:rsid w:val="009116BA"/>
    <w:rsid w:val="009320A2"/>
    <w:rsid w:val="009321C6"/>
    <w:rsid w:val="00934357"/>
    <w:rsid w:val="00956C6C"/>
    <w:rsid w:val="0096069E"/>
    <w:rsid w:val="00987482"/>
    <w:rsid w:val="009A26F5"/>
    <w:rsid w:val="009A4E56"/>
    <w:rsid w:val="009A6604"/>
    <w:rsid w:val="009B56CA"/>
    <w:rsid w:val="009C16DB"/>
    <w:rsid w:val="009D03C1"/>
    <w:rsid w:val="009E0DD3"/>
    <w:rsid w:val="009E2DF3"/>
    <w:rsid w:val="009F5F89"/>
    <w:rsid w:val="00A0332C"/>
    <w:rsid w:val="00A05CE8"/>
    <w:rsid w:val="00A07C03"/>
    <w:rsid w:val="00A11721"/>
    <w:rsid w:val="00A13BFC"/>
    <w:rsid w:val="00A256AA"/>
    <w:rsid w:val="00A368CC"/>
    <w:rsid w:val="00A6388C"/>
    <w:rsid w:val="00A80301"/>
    <w:rsid w:val="00A833DD"/>
    <w:rsid w:val="00A91535"/>
    <w:rsid w:val="00A9571C"/>
    <w:rsid w:val="00A95801"/>
    <w:rsid w:val="00A96B96"/>
    <w:rsid w:val="00AA4547"/>
    <w:rsid w:val="00AB4005"/>
    <w:rsid w:val="00AE066C"/>
    <w:rsid w:val="00AE42E5"/>
    <w:rsid w:val="00AF28B3"/>
    <w:rsid w:val="00B05E8D"/>
    <w:rsid w:val="00B211D7"/>
    <w:rsid w:val="00B37EE2"/>
    <w:rsid w:val="00B46ACB"/>
    <w:rsid w:val="00B5294C"/>
    <w:rsid w:val="00B57D57"/>
    <w:rsid w:val="00B73525"/>
    <w:rsid w:val="00B777EA"/>
    <w:rsid w:val="00B94270"/>
    <w:rsid w:val="00BA3DD8"/>
    <w:rsid w:val="00BA5CD5"/>
    <w:rsid w:val="00BA78EE"/>
    <w:rsid w:val="00BD0C5F"/>
    <w:rsid w:val="00BD7BE2"/>
    <w:rsid w:val="00BE3BC6"/>
    <w:rsid w:val="00BF2365"/>
    <w:rsid w:val="00BF38D4"/>
    <w:rsid w:val="00C03CFB"/>
    <w:rsid w:val="00C074CE"/>
    <w:rsid w:val="00C1385F"/>
    <w:rsid w:val="00C14A8F"/>
    <w:rsid w:val="00C15F39"/>
    <w:rsid w:val="00C22A42"/>
    <w:rsid w:val="00C34F3D"/>
    <w:rsid w:val="00C41C88"/>
    <w:rsid w:val="00C466D8"/>
    <w:rsid w:val="00C64C17"/>
    <w:rsid w:val="00C83FAF"/>
    <w:rsid w:val="00C939F5"/>
    <w:rsid w:val="00C9669D"/>
    <w:rsid w:val="00CA48FC"/>
    <w:rsid w:val="00CB4A04"/>
    <w:rsid w:val="00CE0425"/>
    <w:rsid w:val="00CE0C60"/>
    <w:rsid w:val="00CE6733"/>
    <w:rsid w:val="00CF10B4"/>
    <w:rsid w:val="00D02DB6"/>
    <w:rsid w:val="00D044AC"/>
    <w:rsid w:val="00D22C50"/>
    <w:rsid w:val="00D3617F"/>
    <w:rsid w:val="00D44161"/>
    <w:rsid w:val="00D53E92"/>
    <w:rsid w:val="00D61168"/>
    <w:rsid w:val="00D77984"/>
    <w:rsid w:val="00DA55D9"/>
    <w:rsid w:val="00DB2171"/>
    <w:rsid w:val="00DB2EAC"/>
    <w:rsid w:val="00DC0F45"/>
    <w:rsid w:val="00DC5C6A"/>
    <w:rsid w:val="00DC663C"/>
    <w:rsid w:val="00DC68C7"/>
    <w:rsid w:val="00DD2685"/>
    <w:rsid w:val="00DE2D96"/>
    <w:rsid w:val="00DE5102"/>
    <w:rsid w:val="00DF76AD"/>
    <w:rsid w:val="00E01E4E"/>
    <w:rsid w:val="00E02ADD"/>
    <w:rsid w:val="00E044BD"/>
    <w:rsid w:val="00E070B9"/>
    <w:rsid w:val="00E13E53"/>
    <w:rsid w:val="00E1661C"/>
    <w:rsid w:val="00E24EF8"/>
    <w:rsid w:val="00E25ECC"/>
    <w:rsid w:val="00E31269"/>
    <w:rsid w:val="00E42554"/>
    <w:rsid w:val="00E54CA7"/>
    <w:rsid w:val="00E704F8"/>
    <w:rsid w:val="00E821AA"/>
    <w:rsid w:val="00E925F3"/>
    <w:rsid w:val="00E978F6"/>
    <w:rsid w:val="00E97E26"/>
    <w:rsid w:val="00EA109C"/>
    <w:rsid w:val="00EA7DEA"/>
    <w:rsid w:val="00EB5A84"/>
    <w:rsid w:val="00EB6BEC"/>
    <w:rsid w:val="00ED7BA1"/>
    <w:rsid w:val="00EE3079"/>
    <w:rsid w:val="00F01BDA"/>
    <w:rsid w:val="00F31680"/>
    <w:rsid w:val="00F35903"/>
    <w:rsid w:val="00F56BF7"/>
    <w:rsid w:val="00F56F33"/>
    <w:rsid w:val="00F653D0"/>
    <w:rsid w:val="00F70E22"/>
    <w:rsid w:val="00F711B1"/>
    <w:rsid w:val="00F73269"/>
    <w:rsid w:val="00F76CC6"/>
    <w:rsid w:val="00F82209"/>
    <w:rsid w:val="00F84314"/>
    <w:rsid w:val="00F90DD4"/>
    <w:rsid w:val="00F9382F"/>
    <w:rsid w:val="00F95A04"/>
    <w:rsid w:val="00FA2C64"/>
    <w:rsid w:val="00FA6D47"/>
    <w:rsid w:val="00FB33A6"/>
    <w:rsid w:val="00FB4EE6"/>
    <w:rsid w:val="00FB5233"/>
    <w:rsid w:val="00FC53F6"/>
    <w:rsid w:val="5B05423F"/>
    <w:rsid w:val="783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87A"/>
  <w15:chartTrackingRefBased/>
  <w15:docId w15:val="{FA9D5247-F5DD-455F-B763-EA5BDCD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71"/>
    <w:pPr>
      <w:keepNext/>
      <w:keepLines/>
      <w:spacing w:before="240" w:after="0" w:line="276" w:lineRule="auto"/>
      <w:outlineLvl w:val="0"/>
    </w:pPr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1BDA"/>
    <w:pPr>
      <w:keepNext/>
      <w:keepLines/>
      <w:spacing w:before="40" w:after="0" w:line="276" w:lineRule="auto"/>
      <w:outlineLvl w:val="1"/>
    </w:pPr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BDA"/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character" w:styleId="Hyperlink">
    <w:name w:val="Hyperlink"/>
    <w:semiHidden/>
    <w:unhideWhenUsed/>
    <w:rsid w:val="00A9153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9153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A915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91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71"/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0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large">
    <w:name w:val="no-large"/>
    <w:basedOn w:val="DefaultParagraphFont"/>
    <w:rsid w:val="003814D5"/>
  </w:style>
  <w:style w:type="character" w:styleId="Strong">
    <w:name w:val="Strong"/>
    <w:basedOn w:val="DefaultParagraphFont"/>
    <w:uiPriority w:val="22"/>
    <w:qFormat/>
    <w:rsid w:val="00381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7A"/>
  </w:style>
  <w:style w:type="paragraph" w:styleId="Footer">
    <w:name w:val="footer"/>
    <w:basedOn w:val="Normal"/>
    <w:link w:val="Foot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6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18" w:space="15" w:color="333333"/>
                <w:bottom w:val="none" w:sz="0" w:space="0" w:color="auto"/>
                <w:right w:val="none" w:sz="0" w:space="0" w:color="auto"/>
              </w:divBdr>
              <w:divsChild>
                <w:div w:id="2016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72B2-E7B6-404C-AC4D-6664BFC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Ockwell</dc:creator>
  <cp:keywords/>
  <dc:description/>
  <cp:lastModifiedBy>Trevor Ockwell</cp:lastModifiedBy>
  <cp:revision>35</cp:revision>
  <dcterms:created xsi:type="dcterms:W3CDTF">2020-10-24T12:42:00Z</dcterms:created>
  <dcterms:modified xsi:type="dcterms:W3CDTF">2020-11-07T20:40:00Z</dcterms:modified>
</cp:coreProperties>
</file>